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1E" w:rsidRPr="00A2034F" w:rsidRDefault="0035621E" w:rsidP="0035621E">
      <w:pPr>
        <w:rPr>
          <w:sz w:val="20"/>
          <w:szCs w:val="20"/>
        </w:rPr>
      </w:pPr>
      <w:r w:rsidRPr="00A2034F">
        <w:rPr>
          <w:sz w:val="20"/>
          <w:szCs w:val="20"/>
        </w:rPr>
        <w:t>Attached is the March 2014 seasonal forecast for two 50% hydrology</w:t>
      </w:r>
      <w:r w:rsidRPr="00A2034F">
        <w:rPr>
          <w:color w:val="1F497D"/>
          <w:sz w:val="20"/>
          <w:szCs w:val="20"/>
        </w:rPr>
        <w:t xml:space="preserve"> </w:t>
      </w:r>
      <w:r w:rsidRPr="00A2034F">
        <w:rPr>
          <w:sz w:val="20"/>
          <w:szCs w:val="20"/>
        </w:rPr>
        <w:t xml:space="preserve">conditions (meeting D1641 objectives and including Moderate OMR Restrictions) and one 90% hydrology condition, but with two different barrier scenarios (With Drought Barriers and No Drought Barriers).  The attached excel file includes EC and Bromide at Banks, Jones Pumping stations, Old River at Bacon Island, and Old River at Highway 4, and a few locations along the California Aqueduct. </w:t>
      </w:r>
    </w:p>
    <w:p w:rsidR="0035621E" w:rsidRPr="00A2034F" w:rsidRDefault="0035621E" w:rsidP="0035621E">
      <w:pPr>
        <w:rPr>
          <w:sz w:val="20"/>
          <w:szCs w:val="20"/>
        </w:rPr>
      </w:pPr>
      <w:r w:rsidRPr="00A2034F">
        <w:rPr>
          <w:b/>
          <w:bCs/>
          <w:sz w:val="20"/>
          <w:szCs w:val="20"/>
        </w:rPr>
        <w:t>The seasonal modeling is not being performed in connection</w:t>
      </w:r>
      <w:r w:rsidRPr="00A2034F">
        <w:rPr>
          <w:b/>
          <w:bCs/>
          <w:color w:val="1F497D"/>
          <w:sz w:val="20"/>
          <w:szCs w:val="20"/>
        </w:rPr>
        <w:t xml:space="preserve"> </w:t>
      </w:r>
      <w:r w:rsidRPr="00A2034F">
        <w:rPr>
          <w:b/>
          <w:bCs/>
          <w:sz w:val="20"/>
          <w:szCs w:val="20"/>
        </w:rPr>
        <w:t>with the modeling efforts for the drought barriers.</w:t>
      </w:r>
      <w:r w:rsidRPr="00A2034F">
        <w:rPr>
          <w:b/>
          <w:bCs/>
          <w:color w:val="FF0000"/>
          <w:sz w:val="20"/>
          <w:szCs w:val="20"/>
        </w:rPr>
        <w:t xml:space="preserve">  </w:t>
      </w:r>
      <w:r w:rsidRPr="00A2034F">
        <w:rPr>
          <w:b/>
          <w:bCs/>
          <w:sz w:val="20"/>
          <w:szCs w:val="20"/>
        </w:rPr>
        <w:t>As such, it is not to be used, in any way, shape, or form, for justification for, justification against, or comparison with other models used for the drought barriers</w:t>
      </w:r>
      <w:r w:rsidRPr="00A2034F">
        <w:rPr>
          <w:sz w:val="20"/>
          <w:szCs w:val="20"/>
        </w:rPr>
        <w:t>.  Official department modeling for the drought barriers will come from the Department of Water Resources Bay-Delta Office.</w:t>
      </w:r>
    </w:p>
    <w:p w:rsidR="0035621E" w:rsidRPr="00A2034F" w:rsidRDefault="0035621E" w:rsidP="0035621E">
      <w:pPr>
        <w:rPr>
          <w:sz w:val="20"/>
          <w:szCs w:val="20"/>
        </w:rPr>
      </w:pPr>
      <w:r w:rsidRPr="00A2034F">
        <w:rPr>
          <w:sz w:val="20"/>
          <w:szCs w:val="20"/>
        </w:rPr>
        <w:t>This seasonal forecast of Aqueduct water quality is based on:</w:t>
      </w:r>
    </w:p>
    <w:p w:rsidR="0035621E" w:rsidRPr="00A2034F" w:rsidRDefault="0035621E" w:rsidP="0035621E">
      <w:pPr>
        <w:pStyle w:val="ListParagraph"/>
        <w:numPr>
          <w:ilvl w:val="0"/>
          <w:numId w:val="1"/>
        </w:numPr>
        <w:rPr>
          <w:sz w:val="20"/>
          <w:szCs w:val="20"/>
        </w:rPr>
      </w:pPr>
      <w:r w:rsidRPr="00A2034F">
        <w:rPr>
          <w:sz w:val="20"/>
          <w:szCs w:val="20"/>
        </w:rPr>
        <w:t>March 2014 DCO allocation study.</w:t>
      </w:r>
    </w:p>
    <w:p w:rsidR="0035621E" w:rsidRPr="00A2034F" w:rsidRDefault="0035621E" w:rsidP="0035621E">
      <w:pPr>
        <w:pStyle w:val="ListParagraph"/>
        <w:numPr>
          <w:ilvl w:val="0"/>
          <w:numId w:val="1"/>
        </w:numPr>
        <w:rPr>
          <w:sz w:val="20"/>
          <w:szCs w:val="20"/>
        </w:rPr>
      </w:pPr>
      <w:r w:rsidRPr="00A2034F">
        <w:rPr>
          <w:sz w:val="20"/>
          <w:szCs w:val="20"/>
        </w:rPr>
        <w:t>Initial EC conditions in Aqueduct established by the Delta and Aqueduct historical simulations up to the end of February 2014.</w:t>
      </w:r>
    </w:p>
    <w:p w:rsidR="0035621E" w:rsidRPr="00A2034F" w:rsidRDefault="0035621E" w:rsidP="0035621E">
      <w:pPr>
        <w:pStyle w:val="ListParagraph"/>
        <w:numPr>
          <w:ilvl w:val="0"/>
          <w:numId w:val="1"/>
        </w:numPr>
        <w:rPr>
          <w:sz w:val="20"/>
          <w:szCs w:val="20"/>
        </w:rPr>
      </w:pPr>
      <w:r w:rsidRPr="00A2034F">
        <w:rPr>
          <w:sz w:val="20"/>
          <w:szCs w:val="20"/>
        </w:rPr>
        <w:t>Bromide concentrations at Jones and Banks PP converted from modeled EC and bromide concentrations in Aqueduct modeled directly from this conversion.</w:t>
      </w:r>
    </w:p>
    <w:p w:rsidR="00A2034F" w:rsidRDefault="00A2034F" w:rsidP="0035621E">
      <w:pPr>
        <w:rPr>
          <w:sz w:val="20"/>
          <w:szCs w:val="20"/>
        </w:rPr>
      </w:pPr>
    </w:p>
    <w:p w:rsidR="0035621E" w:rsidRPr="00A2034F" w:rsidRDefault="0035621E" w:rsidP="0035621E">
      <w:pPr>
        <w:rPr>
          <w:sz w:val="20"/>
          <w:szCs w:val="20"/>
        </w:rPr>
      </w:pPr>
      <w:bookmarkStart w:id="0" w:name="_GoBack"/>
      <w:bookmarkEnd w:id="0"/>
      <w:r w:rsidRPr="00A2034F">
        <w:rPr>
          <w:sz w:val="20"/>
          <w:szCs w:val="20"/>
        </w:rPr>
        <w:t>Both 50% and 90% hydrology studies used the following gate and temporary barriers operations:</w:t>
      </w:r>
    </w:p>
    <w:p w:rsidR="0035621E" w:rsidRPr="00A2034F" w:rsidRDefault="0035621E" w:rsidP="0035621E">
      <w:pPr>
        <w:pStyle w:val="ListParagraph"/>
        <w:numPr>
          <w:ilvl w:val="0"/>
          <w:numId w:val="2"/>
        </w:numPr>
        <w:rPr>
          <w:sz w:val="20"/>
          <w:szCs w:val="20"/>
        </w:rPr>
      </w:pPr>
      <w:r w:rsidRPr="00A2034F">
        <w:rPr>
          <w:sz w:val="20"/>
          <w:szCs w:val="20"/>
        </w:rPr>
        <w:t>Delta Cross Channel </w:t>
      </w:r>
      <w:proofErr w:type="gramStart"/>
      <w:r w:rsidRPr="00A2034F">
        <w:rPr>
          <w:sz w:val="20"/>
          <w:szCs w:val="20"/>
        </w:rPr>
        <w:t>open</w:t>
      </w:r>
      <w:proofErr w:type="gramEnd"/>
      <w:r w:rsidRPr="00A2034F">
        <w:rPr>
          <w:sz w:val="20"/>
          <w:szCs w:val="20"/>
        </w:rPr>
        <w:t xml:space="preserve"> from June 1 to December 1.</w:t>
      </w:r>
    </w:p>
    <w:p w:rsidR="0035621E" w:rsidRPr="00A2034F" w:rsidRDefault="0035621E" w:rsidP="0035621E">
      <w:pPr>
        <w:pStyle w:val="ListParagraph"/>
        <w:numPr>
          <w:ilvl w:val="0"/>
          <w:numId w:val="2"/>
        </w:numPr>
        <w:rPr>
          <w:sz w:val="20"/>
          <w:szCs w:val="20"/>
        </w:rPr>
      </w:pPr>
      <w:r w:rsidRPr="00A2034F">
        <w:rPr>
          <w:sz w:val="20"/>
          <w:szCs w:val="20"/>
        </w:rPr>
        <w:t>MR barrier is installed from March 17 to November 30.</w:t>
      </w:r>
    </w:p>
    <w:p w:rsidR="0035621E" w:rsidRPr="00A2034F" w:rsidRDefault="0035621E" w:rsidP="0035621E">
      <w:pPr>
        <w:pStyle w:val="ListParagraph"/>
        <w:numPr>
          <w:ilvl w:val="0"/>
          <w:numId w:val="2"/>
        </w:numPr>
        <w:rPr>
          <w:sz w:val="20"/>
          <w:szCs w:val="20"/>
        </w:rPr>
      </w:pPr>
      <w:r w:rsidRPr="00A2034F">
        <w:rPr>
          <w:sz w:val="20"/>
          <w:szCs w:val="20"/>
        </w:rPr>
        <w:t>OR barrier is installed from April 3 to November 30.</w:t>
      </w:r>
    </w:p>
    <w:p w:rsidR="0035621E" w:rsidRPr="00A2034F" w:rsidRDefault="0035621E" w:rsidP="0035621E">
      <w:pPr>
        <w:pStyle w:val="ListParagraph"/>
        <w:numPr>
          <w:ilvl w:val="0"/>
          <w:numId w:val="2"/>
        </w:numPr>
        <w:rPr>
          <w:sz w:val="20"/>
          <w:szCs w:val="20"/>
        </w:rPr>
      </w:pPr>
      <w:r w:rsidRPr="00A2034F">
        <w:rPr>
          <w:sz w:val="20"/>
          <w:szCs w:val="20"/>
        </w:rPr>
        <w:t>GLC barrier is installed from April 15 to November 30.</w:t>
      </w:r>
    </w:p>
    <w:p w:rsidR="0035621E" w:rsidRPr="00A2034F" w:rsidRDefault="0035621E" w:rsidP="0035621E">
      <w:pPr>
        <w:pStyle w:val="ListParagraph"/>
        <w:numPr>
          <w:ilvl w:val="0"/>
          <w:numId w:val="2"/>
        </w:numPr>
        <w:rPr>
          <w:sz w:val="20"/>
          <w:szCs w:val="20"/>
        </w:rPr>
      </w:pPr>
      <w:r w:rsidRPr="00A2034F">
        <w:rPr>
          <w:sz w:val="20"/>
          <w:szCs w:val="20"/>
        </w:rPr>
        <w:t>HOR Barrier is installed from April 10 to June 15.</w:t>
      </w:r>
    </w:p>
    <w:p w:rsidR="0035621E" w:rsidRPr="00A2034F" w:rsidRDefault="0035621E" w:rsidP="0035621E">
      <w:pPr>
        <w:rPr>
          <w:sz w:val="20"/>
          <w:szCs w:val="20"/>
        </w:rPr>
      </w:pPr>
    </w:p>
    <w:p w:rsidR="0035621E" w:rsidRPr="00A2034F" w:rsidRDefault="0035621E" w:rsidP="0035621E">
      <w:pPr>
        <w:rPr>
          <w:sz w:val="20"/>
          <w:szCs w:val="20"/>
        </w:rPr>
      </w:pPr>
      <w:r w:rsidRPr="00A2034F">
        <w:rPr>
          <w:sz w:val="20"/>
          <w:szCs w:val="20"/>
        </w:rPr>
        <w:t xml:space="preserve">In addition, the 90% With Drought Barriers study used the following drought barrier operations: </w:t>
      </w:r>
    </w:p>
    <w:p w:rsidR="0035621E" w:rsidRPr="00A2034F" w:rsidRDefault="0035621E" w:rsidP="0035621E">
      <w:pPr>
        <w:pStyle w:val="ListParagraph"/>
        <w:numPr>
          <w:ilvl w:val="0"/>
          <w:numId w:val="3"/>
        </w:numPr>
        <w:rPr>
          <w:sz w:val="20"/>
          <w:szCs w:val="20"/>
        </w:rPr>
      </w:pPr>
      <w:r w:rsidRPr="00A2034F">
        <w:rPr>
          <w:sz w:val="20"/>
          <w:szCs w:val="20"/>
        </w:rPr>
        <w:t>False River barrier is installed from June 1 to November 10.</w:t>
      </w:r>
    </w:p>
    <w:p w:rsidR="0035621E" w:rsidRPr="00A2034F" w:rsidRDefault="0035621E" w:rsidP="0035621E">
      <w:pPr>
        <w:pStyle w:val="ListParagraph"/>
        <w:numPr>
          <w:ilvl w:val="0"/>
          <w:numId w:val="3"/>
        </w:numPr>
        <w:rPr>
          <w:sz w:val="20"/>
          <w:szCs w:val="20"/>
        </w:rPr>
      </w:pPr>
      <w:r w:rsidRPr="00A2034F">
        <w:rPr>
          <w:sz w:val="20"/>
          <w:szCs w:val="20"/>
        </w:rPr>
        <w:t>Sutter Slough barrier is installed from June 1 to November 10.</w:t>
      </w:r>
    </w:p>
    <w:p w:rsidR="0035621E" w:rsidRPr="00A2034F" w:rsidRDefault="0035621E" w:rsidP="0035621E">
      <w:pPr>
        <w:pStyle w:val="ListParagraph"/>
        <w:numPr>
          <w:ilvl w:val="0"/>
          <w:numId w:val="3"/>
        </w:numPr>
        <w:rPr>
          <w:sz w:val="20"/>
          <w:szCs w:val="20"/>
        </w:rPr>
      </w:pPr>
      <w:r w:rsidRPr="00A2034F">
        <w:rPr>
          <w:sz w:val="20"/>
          <w:szCs w:val="20"/>
        </w:rPr>
        <w:t>Steamboat Slough barrier is installed from June 1 to November 10.</w:t>
      </w:r>
    </w:p>
    <w:p w:rsidR="0035621E" w:rsidRPr="00A2034F" w:rsidRDefault="0035621E" w:rsidP="0035621E">
      <w:pPr>
        <w:rPr>
          <w:sz w:val="20"/>
          <w:szCs w:val="20"/>
        </w:rPr>
      </w:pPr>
    </w:p>
    <w:p w:rsidR="0035621E" w:rsidRPr="00A2034F" w:rsidRDefault="0035621E" w:rsidP="0035621E">
      <w:pPr>
        <w:rPr>
          <w:sz w:val="20"/>
          <w:szCs w:val="20"/>
        </w:rPr>
      </w:pPr>
      <w:r w:rsidRPr="00A2034F">
        <w:rPr>
          <w:sz w:val="20"/>
          <w:szCs w:val="20"/>
        </w:rPr>
        <w:t xml:space="preserve">Pump-ins to the California Aqueduct </w:t>
      </w:r>
      <w:proofErr w:type="gramStart"/>
      <w:r w:rsidRPr="00A2034F">
        <w:rPr>
          <w:sz w:val="20"/>
          <w:szCs w:val="20"/>
        </w:rPr>
        <w:t>were</w:t>
      </w:r>
      <w:proofErr w:type="gramEnd"/>
      <w:r w:rsidRPr="00A2034F">
        <w:rPr>
          <w:sz w:val="20"/>
          <w:szCs w:val="20"/>
        </w:rPr>
        <w:t xml:space="preserve"> assumed to occur to the sum of 480 TAF.</w:t>
      </w:r>
    </w:p>
    <w:p w:rsidR="0035621E" w:rsidRPr="00A2034F" w:rsidRDefault="0035621E" w:rsidP="0035621E">
      <w:pPr>
        <w:rPr>
          <w:color w:val="000000"/>
          <w:sz w:val="20"/>
          <w:szCs w:val="20"/>
        </w:rPr>
      </w:pPr>
      <w:r w:rsidRPr="00A2034F">
        <w:rPr>
          <w:color w:val="000000"/>
          <w:sz w:val="20"/>
          <w:szCs w:val="20"/>
        </w:rPr>
        <w:t>Net Delta Outflow Used for each Scenario (TAF)</w:t>
      </w:r>
    </w:p>
    <w:tbl>
      <w:tblPr>
        <w:tblW w:w="3840" w:type="dxa"/>
        <w:tblInd w:w="-14" w:type="dxa"/>
        <w:tblCellMar>
          <w:left w:w="0" w:type="dxa"/>
          <w:right w:w="0" w:type="dxa"/>
        </w:tblCellMar>
        <w:tblLook w:val="04A0" w:firstRow="1" w:lastRow="0" w:firstColumn="1" w:lastColumn="0" w:noHBand="0" w:noVBand="1"/>
      </w:tblPr>
      <w:tblGrid>
        <w:gridCol w:w="960"/>
        <w:gridCol w:w="960"/>
        <w:gridCol w:w="960"/>
        <w:gridCol w:w="960"/>
      </w:tblGrid>
      <w:tr w:rsidR="0035621E" w:rsidRPr="00A2034F" w:rsidTr="0035621E">
        <w:trPr>
          <w:trHeight w:val="315"/>
        </w:trPr>
        <w:tc>
          <w:tcPr>
            <w:tcW w:w="960" w:type="dxa"/>
            <w:noWrap/>
            <w:tcMar>
              <w:top w:w="0" w:type="dxa"/>
              <w:left w:w="108" w:type="dxa"/>
              <w:bottom w:w="0" w:type="dxa"/>
              <w:right w:w="108" w:type="dxa"/>
            </w:tcMar>
            <w:vAlign w:val="bottom"/>
            <w:hideMark/>
          </w:tcPr>
          <w:p w:rsidR="0035621E" w:rsidRPr="00A2034F" w:rsidRDefault="0035621E">
            <w:pPr>
              <w:rPr>
                <w:rFonts w:ascii="Times New Roman" w:eastAsia="Times New Roman" w:hAnsi="Times New Roman"/>
                <w:sz w:val="20"/>
                <w:szCs w:val="20"/>
              </w:rPr>
            </w:pPr>
          </w:p>
        </w:tc>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90% (D1641 &amp; All OMR's)</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50% (Mod)</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50% (D1641)</w:t>
            </w:r>
          </w:p>
        </w:tc>
      </w:tr>
      <w:tr w:rsidR="0035621E" w:rsidRPr="00A2034F" w:rsidTr="0035621E">
        <w:trPr>
          <w:trHeight w:val="315"/>
        </w:trPr>
        <w:tc>
          <w:tcPr>
            <w:tcW w:w="96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Jan</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321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321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321</w:t>
            </w:r>
          </w:p>
        </w:tc>
      </w:tr>
      <w:tr w:rsidR="0035621E" w:rsidRPr="00A2034F" w:rsidTr="0035621E">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Feb</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599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599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599</w:t>
            </w:r>
          </w:p>
        </w:tc>
      </w:tr>
      <w:tr w:rsidR="0035621E" w:rsidRPr="00A2034F" w:rsidTr="0035621E">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Mar</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629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629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629</w:t>
            </w:r>
          </w:p>
        </w:tc>
      </w:tr>
      <w:tr w:rsidR="0035621E" w:rsidRPr="00A2034F" w:rsidTr="0035621E">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lastRenderedPageBreak/>
              <w:t>Apr</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327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386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386</w:t>
            </w:r>
          </w:p>
        </w:tc>
      </w:tr>
      <w:tr w:rsidR="0035621E" w:rsidRPr="00A2034F" w:rsidTr="0035621E">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May</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280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298</w:t>
            </w:r>
          </w:p>
        </w:tc>
      </w:tr>
      <w:tr w:rsidR="0035621E" w:rsidRPr="00A2034F" w:rsidTr="0035621E">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Jun</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243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243</w:t>
            </w:r>
          </w:p>
        </w:tc>
      </w:tr>
      <w:tr w:rsidR="0035621E" w:rsidRPr="00A2034F" w:rsidTr="0035621E">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Jul</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276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272</w:t>
            </w:r>
          </w:p>
        </w:tc>
      </w:tr>
      <w:tr w:rsidR="0035621E" w:rsidRPr="00A2034F" w:rsidTr="0035621E">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Aug</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273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284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280</w:t>
            </w:r>
          </w:p>
        </w:tc>
      </w:tr>
      <w:tr w:rsidR="0035621E" w:rsidRPr="00A2034F" w:rsidTr="0035621E">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Sep</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268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264</w:t>
            </w:r>
          </w:p>
        </w:tc>
      </w:tr>
      <w:tr w:rsidR="0035621E" w:rsidRPr="00A2034F" w:rsidTr="0035621E">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Oct</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237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257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257</w:t>
            </w:r>
          </w:p>
        </w:tc>
      </w:tr>
      <w:tr w:rsidR="0035621E" w:rsidRPr="00A2034F" w:rsidTr="0035621E">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Nov</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261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293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293</w:t>
            </w:r>
          </w:p>
        </w:tc>
      </w:tr>
      <w:tr w:rsidR="0035621E" w:rsidRPr="00A2034F" w:rsidTr="0035621E">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5621E" w:rsidRPr="00A2034F" w:rsidRDefault="0035621E">
            <w:pPr>
              <w:rPr>
                <w:rFonts w:ascii="Arial" w:hAnsi="Arial" w:cs="Arial"/>
                <w:color w:val="000000"/>
                <w:sz w:val="20"/>
                <w:szCs w:val="20"/>
              </w:rPr>
            </w:pPr>
            <w:r w:rsidRPr="00A2034F">
              <w:rPr>
                <w:rFonts w:ascii="Arial" w:hAnsi="Arial" w:cs="Arial"/>
                <w:color w:val="000000"/>
                <w:sz w:val="20"/>
                <w:szCs w:val="20"/>
              </w:rPr>
              <w:t>Dec</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621E" w:rsidRPr="00A2034F" w:rsidRDefault="0035621E">
            <w:pPr>
              <w:jc w:val="right"/>
              <w:rPr>
                <w:rFonts w:ascii="Arial" w:hAnsi="Arial" w:cs="Arial"/>
                <w:color w:val="000000"/>
                <w:sz w:val="20"/>
                <w:szCs w:val="20"/>
              </w:rPr>
            </w:pPr>
            <w:r w:rsidRPr="00A2034F">
              <w:rPr>
                <w:rFonts w:ascii="Arial" w:hAnsi="Arial" w:cs="Arial"/>
                <w:color w:val="000000"/>
                <w:sz w:val="20"/>
                <w:szCs w:val="20"/>
              </w:rPr>
              <w:t>289</w:t>
            </w:r>
          </w:p>
        </w:tc>
      </w:tr>
    </w:tbl>
    <w:p w:rsidR="0035621E" w:rsidRPr="00A2034F" w:rsidRDefault="0035621E" w:rsidP="0035621E">
      <w:pPr>
        <w:rPr>
          <w:rFonts w:ascii="Calibri" w:hAnsi="Calibri"/>
          <w:sz w:val="20"/>
          <w:szCs w:val="20"/>
        </w:rPr>
      </w:pPr>
    </w:p>
    <w:p w:rsidR="00CB362E" w:rsidRPr="00A2034F" w:rsidRDefault="00CB362E">
      <w:pPr>
        <w:rPr>
          <w:sz w:val="20"/>
          <w:szCs w:val="20"/>
        </w:rPr>
      </w:pPr>
    </w:p>
    <w:sectPr w:rsidR="00CB362E" w:rsidRPr="00A20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7E5A"/>
    <w:multiLevelType w:val="hybridMultilevel"/>
    <w:tmpl w:val="0066AE9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DC54F5"/>
    <w:multiLevelType w:val="hybridMultilevel"/>
    <w:tmpl w:val="0066AE9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27511F"/>
    <w:multiLevelType w:val="hybridMultilevel"/>
    <w:tmpl w:val="82FA459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1E"/>
    <w:rsid w:val="0035621E"/>
    <w:rsid w:val="00A2034F"/>
    <w:rsid w:val="00CB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1E"/>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1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mbett</dc:creator>
  <cp:lastModifiedBy>mbett</cp:lastModifiedBy>
  <cp:revision>2</cp:revision>
  <dcterms:created xsi:type="dcterms:W3CDTF">2014-04-24T21:49:00Z</dcterms:created>
  <dcterms:modified xsi:type="dcterms:W3CDTF">2014-06-20T16:11:00Z</dcterms:modified>
</cp:coreProperties>
</file>